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82F5E">
      <w:pPr>
        <w:widowControl/>
        <w:jc w:val="left"/>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附件1</w:t>
      </w:r>
    </w:p>
    <w:p w14:paraId="391B52A0">
      <w:pPr>
        <w:jc w:val="center"/>
        <w:rPr>
          <w:rFonts w:ascii="Times New Roman" w:hAnsi="Times New Roman" w:eastAsia="方正小标宋简体" w:cs="Times New Roman"/>
          <w:b w:val="0"/>
          <w:bCs w:val="0"/>
          <w:sz w:val="36"/>
          <w:szCs w:val="36"/>
        </w:rPr>
      </w:pPr>
      <w:r>
        <w:rPr>
          <w:rFonts w:ascii="Times New Roman" w:hAnsi="Times New Roman" w:eastAsia="方正小标宋简体" w:cs="Times New Roman"/>
          <w:b w:val="0"/>
          <w:bCs w:val="0"/>
          <w:sz w:val="36"/>
          <w:szCs w:val="36"/>
        </w:rPr>
        <w:t>表1 省级工业设计中心（企业工业设计中心）</w:t>
      </w:r>
    </w:p>
    <w:p w14:paraId="65097DFC">
      <w:pPr>
        <w:jc w:val="center"/>
        <w:rPr>
          <w:rFonts w:ascii="Times New Roman" w:hAnsi="Times New Roman" w:eastAsia="方正小标宋简体" w:cs="Times New Roman"/>
          <w:b w:val="0"/>
          <w:bCs w:val="0"/>
          <w:color w:val="FF0000"/>
          <w:sz w:val="36"/>
          <w:szCs w:val="36"/>
        </w:rPr>
      </w:pPr>
      <w:r>
        <w:rPr>
          <w:rFonts w:ascii="Times New Roman" w:hAnsi="Times New Roman" w:eastAsia="方正小标宋简体" w:cs="Times New Roman"/>
          <w:b w:val="0"/>
          <w:bCs w:val="0"/>
          <w:sz w:val="36"/>
          <w:szCs w:val="36"/>
        </w:rPr>
        <w:t>主要评价指标</w:t>
      </w:r>
    </w:p>
    <w:tbl>
      <w:tblPr>
        <w:tblStyle w:val="3"/>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47"/>
        <w:gridCol w:w="6573"/>
        <w:gridCol w:w="873"/>
      </w:tblGrid>
      <w:tr w14:paraId="5F06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5309F7A8">
            <w:pPr>
              <w:widowControl/>
              <w:jc w:val="center"/>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1447" w:type="dxa"/>
            <w:noWrap w:val="0"/>
            <w:vAlign w:val="center"/>
          </w:tcPr>
          <w:p w14:paraId="388DD8F8">
            <w:pPr>
              <w:widowControl/>
              <w:jc w:val="center"/>
              <w:rPr>
                <w:rFonts w:ascii="Times New Roman" w:hAnsi="Times New Roman" w:eastAsia="仿宋" w:cs="Times New Roman"/>
                <w:sz w:val="24"/>
                <w:szCs w:val="24"/>
              </w:rPr>
            </w:pPr>
            <w:r>
              <w:rPr>
                <w:rFonts w:ascii="Times New Roman" w:hAnsi="Times New Roman" w:eastAsia="仿宋" w:cs="Times New Roman"/>
                <w:sz w:val="24"/>
                <w:szCs w:val="24"/>
              </w:rPr>
              <w:t>指标名称</w:t>
            </w:r>
          </w:p>
        </w:tc>
        <w:tc>
          <w:tcPr>
            <w:tcW w:w="6573" w:type="dxa"/>
            <w:noWrap w:val="0"/>
            <w:vAlign w:val="center"/>
          </w:tcPr>
          <w:p w14:paraId="1A6AD9F8">
            <w:pPr>
              <w:widowControl/>
              <w:jc w:val="center"/>
              <w:rPr>
                <w:rFonts w:ascii="Times New Roman" w:hAnsi="Times New Roman" w:eastAsia="仿宋" w:cs="Times New Roman"/>
                <w:sz w:val="24"/>
                <w:szCs w:val="24"/>
              </w:rPr>
            </w:pPr>
            <w:r>
              <w:rPr>
                <w:rFonts w:ascii="Times New Roman" w:hAnsi="Times New Roman" w:eastAsia="仿宋" w:cs="Times New Roman"/>
                <w:sz w:val="24"/>
                <w:szCs w:val="24"/>
              </w:rPr>
              <w:t>指标内容</w:t>
            </w:r>
          </w:p>
        </w:tc>
        <w:tc>
          <w:tcPr>
            <w:tcW w:w="873" w:type="dxa"/>
            <w:noWrap w:val="0"/>
            <w:vAlign w:val="center"/>
          </w:tcPr>
          <w:p w14:paraId="09916A43">
            <w:pPr>
              <w:widowControl/>
              <w:jc w:val="center"/>
              <w:rPr>
                <w:rFonts w:ascii="Times New Roman" w:hAnsi="Times New Roman" w:eastAsia="仿宋" w:cs="Times New Roman"/>
                <w:sz w:val="24"/>
                <w:szCs w:val="24"/>
              </w:rPr>
            </w:pPr>
            <w:r>
              <w:rPr>
                <w:rFonts w:ascii="Times New Roman" w:hAnsi="Times New Roman" w:eastAsia="仿宋" w:cs="Times New Roman"/>
                <w:sz w:val="24"/>
                <w:szCs w:val="24"/>
              </w:rPr>
              <w:t>权重</w:t>
            </w:r>
          </w:p>
        </w:tc>
      </w:tr>
      <w:tr w14:paraId="4F7F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0207B0F">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447" w:type="dxa"/>
            <w:noWrap w:val="0"/>
            <w:vAlign w:val="center"/>
          </w:tcPr>
          <w:p w14:paraId="238133C2">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设计费用投入及占比</w:t>
            </w:r>
          </w:p>
        </w:tc>
        <w:tc>
          <w:tcPr>
            <w:tcW w:w="6573" w:type="dxa"/>
            <w:noWrap w:val="0"/>
            <w:vAlign w:val="center"/>
          </w:tcPr>
          <w:p w14:paraId="7BAD9B92">
            <w:pPr>
              <w:widowControl/>
              <w:adjustRightInd w:val="0"/>
              <w:snapToGrid w:val="0"/>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近三年有稳定持续的设计费用投入，设计费用投入占研发设计投入总额的比重。</w:t>
            </w:r>
          </w:p>
        </w:tc>
        <w:tc>
          <w:tcPr>
            <w:tcW w:w="873" w:type="dxa"/>
            <w:noWrap w:val="0"/>
            <w:vAlign w:val="center"/>
          </w:tcPr>
          <w:p w14:paraId="11669375">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20%</w:t>
            </w:r>
          </w:p>
        </w:tc>
      </w:tr>
      <w:tr w14:paraId="5E56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CC14A7D">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1447" w:type="dxa"/>
            <w:noWrap w:val="0"/>
            <w:vAlign w:val="center"/>
          </w:tcPr>
          <w:p w14:paraId="17972E5F">
            <w:pPr>
              <w:widowControl/>
              <w:adjustRightInd w:val="0"/>
              <w:snapToGrid w:val="0"/>
              <w:spacing w:line="400" w:lineRule="exact"/>
              <w:jc w:val="both"/>
              <w:rPr>
                <w:rFonts w:ascii="Times New Roman" w:hAnsi="Times New Roman" w:eastAsia="仿宋" w:cs="Times New Roman"/>
                <w:sz w:val="24"/>
                <w:szCs w:val="24"/>
              </w:rPr>
            </w:pPr>
            <w:r>
              <w:rPr>
                <w:rFonts w:ascii="Times New Roman" w:hAnsi="Times New Roman" w:eastAsia="仿宋" w:cs="Times New Roman"/>
                <w:sz w:val="24"/>
                <w:szCs w:val="24"/>
              </w:rPr>
              <w:t>设计团队人员数量及素质</w:t>
            </w:r>
          </w:p>
        </w:tc>
        <w:tc>
          <w:tcPr>
            <w:tcW w:w="6573" w:type="dxa"/>
            <w:noWrap w:val="0"/>
            <w:vAlign w:val="center"/>
          </w:tcPr>
          <w:p w14:paraId="2F553E84">
            <w:pPr>
              <w:widowControl/>
              <w:adjustRightInd w:val="0"/>
              <w:snapToGrid w:val="0"/>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设计人员数量，具有工业设计及相关学科大学本科及以上学历，或取得相关专业技术职称（职业资格）的人员比例。</w:t>
            </w:r>
          </w:p>
          <w:p w14:paraId="2A6CC640">
            <w:pPr>
              <w:widowControl/>
              <w:adjustRightInd w:val="0"/>
              <w:snapToGrid w:val="0"/>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此项需满足的基本要求：团队从业人员应达到20人以上，其中具有有工业设计及相关学科大学本科及以上学历或具有工业设计专业技术职称〔职业资格〕的人员占比不低于 50%。</w:t>
            </w:r>
          </w:p>
        </w:tc>
        <w:tc>
          <w:tcPr>
            <w:tcW w:w="873" w:type="dxa"/>
            <w:noWrap w:val="0"/>
            <w:vAlign w:val="center"/>
          </w:tcPr>
          <w:p w14:paraId="39D9C722">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20%</w:t>
            </w:r>
          </w:p>
        </w:tc>
      </w:tr>
      <w:tr w14:paraId="6EB8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FE6ADD6">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1447" w:type="dxa"/>
            <w:noWrap w:val="0"/>
            <w:vAlign w:val="center"/>
          </w:tcPr>
          <w:p w14:paraId="6661872F">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完成项目数量及质量</w:t>
            </w:r>
          </w:p>
        </w:tc>
        <w:tc>
          <w:tcPr>
            <w:tcW w:w="6573" w:type="dxa"/>
            <w:noWrap w:val="0"/>
            <w:vAlign w:val="center"/>
          </w:tcPr>
          <w:p w14:paraId="1D5D1CAC">
            <w:pPr>
              <w:widowControl/>
              <w:adjustRightInd w:val="0"/>
              <w:snapToGrid w:val="0"/>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近三年完成的设计任务项目数量及质量，参与地市级以上科技重大专项、重点研发计划、课题研究等项目数量及质量，获得地市级以上政府批准举办或省级以上行业组织举办的设计大赛、评选等工业设计专业奖项数量。</w:t>
            </w:r>
          </w:p>
        </w:tc>
        <w:tc>
          <w:tcPr>
            <w:tcW w:w="873" w:type="dxa"/>
            <w:noWrap w:val="0"/>
            <w:vAlign w:val="center"/>
          </w:tcPr>
          <w:p w14:paraId="61DC1772">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20%</w:t>
            </w:r>
          </w:p>
        </w:tc>
      </w:tr>
      <w:tr w14:paraId="7FC3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F6F64A8">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1447" w:type="dxa"/>
            <w:noWrap w:val="0"/>
            <w:vAlign w:val="center"/>
          </w:tcPr>
          <w:p w14:paraId="2610C473">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成果产业化</w:t>
            </w:r>
          </w:p>
        </w:tc>
        <w:tc>
          <w:tcPr>
            <w:tcW w:w="6573" w:type="dxa"/>
            <w:noWrap w:val="0"/>
            <w:vAlign w:val="center"/>
          </w:tcPr>
          <w:p w14:paraId="34CFD911">
            <w:pPr>
              <w:widowControl/>
              <w:adjustRightInd w:val="0"/>
              <w:snapToGrid w:val="0"/>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近三年产出一批优秀设计成果，成果产业化带来显著的经济效益和社会效益。</w:t>
            </w:r>
          </w:p>
        </w:tc>
        <w:tc>
          <w:tcPr>
            <w:tcW w:w="873" w:type="dxa"/>
            <w:noWrap w:val="0"/>
            <w:vAlign w:val="center"/>
          </w:tcPr>
          <w:p w14:paraId="4F366D75">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15%</w:t>
            </w:r>
          </w:p>
        </w:tc>
      </w:tr>
      <w:tr w14:paraId="427D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5CEEAC5B">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1447" w:type="dxa"/>
            <w:noWrap w:val="0"/>
            <w:vAlign w:val="center"/>
          </w:tcPr>
          <w:p w14:paraId="70CC3652">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知识产权</w:t>
            </w:r>
          </w:p>
        </w:tc>
        <w:tc>
          <w:tcPr>
            <w:tcW w:w="6573" w:type="dxa"/>
            <w:noWrap w:val="0"/>
            <w:vAlign w:val="center"/>
          </w:tcPr>
          <w:p w14:paraId="603F3992">
            <w:pPr>
              <w:widowControl/>
              <w:adjustRightInd w:val="0"/>
              <w:snapToGrid w:val="0"/>
              <w:spacing w:line="40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近三年获得国内外专利及版权年均数量或成立以来累计获得国内外专利及版权数量。</w:t>
            </w:r>
          </w:p>
          <w:p w14:paraId="63F9CEA3">
            <w:pPr>
              <w:widowControl/>
              <w:adjustRightInd w:val="0"/>
              <w:snapToGrid w:val="0"/>
              <w:spacing w:line="40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此项需满足的基本要求：近三年获得国内外专利及版权累计达到15项以上或成立以来累计40项以上。</w:t>
            </w:r>
          </w:p>
        </w:tc>
        <w:tc>
          <w:tcPr>
            <w:tcW w:w="873" w:type="dxa"/>
            <w:noWrap w:val="0"/>
            <w:vAlign w:val="center"/>
          </w:tcPr>
          <w:p w14:paraId="2E1525F5">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15%</w:t>
            </w:r>
          </w:p>
        </w:tc>
      </w:tr>
      <w:tr w14:paraId="1337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662D8110">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1447" w:type="dxa"/>
            <w:noWrap w:val="0"/>
            <w:vAlign w:val="center"/>
          </w:tcPr>
          <w:p w14:paraId="62EAF548">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制定标准</w:t>
            </w:r>
          </w:p>
          <w:p w14:paraId="1E5AB0B6">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数量</w:t>
            </w:r>
          </w:p>
        </w:tc>
        <w:tc>
          <w:tcPr>
            <w:tcW w:w="6573" w:type="dxa"/>
            <w:noWrap w:val="0"/>
            <w:vAlign w:val="center"/>
          </w:tcPr>
          <w:p w14:paraId="5DDB641F">
            <w:pPr>
              <w:widowControl/>
              <w:adjustRightInd w:val="0"/>
              <w:snapToGrid w:val="0"/>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近三年牵头或参与制定国际、国家、行业、团体等标准情况。</w:t>
            </w:r>
          </w:p>
        </w:tc>
        <w:tc>
          <w:tcPr>
            <w:tcW w:w="873" w:type="dxa"/>
            <w:noWrap w:val="0"/>
            <w:vAlign w:val="center"/>
          </w:tcPr>
          <w:p w14:paraId="03CCDA3E">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10%</w:t>
            </w:r>
          </w:p>
        </w:tc>
      </w:tr>
      <w:tr w14:paraId="6CCD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219F33DC">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1447" w:type="dxa"/>
            <w:noWrap w:val="0"/>
            <w:vAlign w:val="center"/>
          </w:tcPr>
          <w:p w14:paraId="6741A5D8">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加分项</w:t>
            </w:r>
          </w:p>
        </w:tc>
        <w:tc>
          <w:tcPr>
            <w:tcW w:w="6573" w:type="dxa"/>
            <w:noWrap w:val="0"/>
            <w:vAlign w:val="center"/>
          </w:tcPr>
          <w:p w14:paraId="3008480D">
            <w:pPr>
              <w:widowControl/>
              <w:adjustRightInd w:val="0"/>
              <w:snapToGrid w:val="0"/>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近三年组织或参与省内外工业设计重要活动，承担或参与市级以上工业设计课题研究数量，与中小企业开展工业设计项目合作，为中小企业提供工业设计咨询服务，获得省级以上经济和信息化部门示范认定等情况。</w:t>
            </w:r>
          </w:p>
        </w:tc>
        <w:tc>
          <w:tcPr>
            <w:tcW w:w="873" w:type="dxa"/>
            <w:noWrap w:val="0"/>
            <w:vAlign w:val="center"/>
          </w:tcPr>
          <w:p w14:paraId="74D6521A">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10%</w:t>
            </w:r>
          </w:p>
        </w:tc>
      </w:tr>
    </w:tbl>
    <w:p w14:paraId="5C13419E">
      <w:pPr>
        <w:rPr>
          <w:rFonts w:ascii="Times New Roman" w:hAnsi="Times New Roman" w:eastAsia="仿宋" w:cs="Times New Roman"/>
        </w:rPr>
      </w:pPr>
    </w:p>
    <w:p w14:paraId="613FCBC7">
      <w:pPr>
        <w:jc w:val="center"/>
        <w:rPr>
          <w:rFonts w:ascii="Times New Roman" w:hAnsi="Times New Roman" w:eastAsia="方正小标宋简体" w:cs="Times New Roman"/>
          <w:sz w:val="36"/>
          <w:szCs w:val="36"/>
        </w:rPr>
      </w:pPr>
    </w:p>
    <w:p w14:paraId="3E91BBD6">
      <w:pPr>
        <w:jc w:val="center"/>
        <w:rPr>
          <w:rFonts w:ascii="Times New Roman" w:hAnsi="Times New Roman" w:eastAsia="方正小标宋简体" w:cs="Times New Roman"/>
          <w:sz w:val="36"/>
          <w:szCs w:val="36"/>
        </w:rPr>
      </w:pPr>
    </w:p>
    <w:p w14:paraId="547FEF46">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表2 省级工业设计中心（工业设计企业）</w:t>
      </w:r>
    </w:p>
    <w:p w14:paraId="312EF754">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主要评价指标</w:t>
      </w:r>
    </w:p>
    <w:tbl>
      <w:tblPr>
        <w:tblStyle w:val="3"/>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5702"/>
        <w:gridCol w:w="1568"/>
      </w:tblGrid>
      <w:tr w14:paraId="615D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FAB54A1">
            <w:pPr>
              <w:widowControl/>
              <w:jc w:val="center"/>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1418" w:type="dxa"/>
            <w:noWrap w:val="0"/>
            <w:vAlign w:val="center"/>
          </w:tcPr>
          <w:p w14:paraId="637E7234">
            <w:pPr>
              <w:widowControl/>
              <w:jc w:val="center"/>
              <w:rPr>
                <w:rFonts w:ascii="Times New Roman" w:hAnsi="Times New Roman" w:eastAsia="仿宋" w:cs="Times New Roman"/>
                <w:sz w:val="24"/>
                <w:szCs w:val="24"/>
              </w:rPr>
            </w:pPr>
            <w:r>
              <w:rPr>
                <w:rFonts w:ascii="Times New Roman" w:hAnsi="Times New Roman" w:eastAsia="仿宋" w:cs="Times New Roman"/>
                <w:sz w:val="24"/>
                <w:szCs w:val="24"/>
              </w:rPr>
              <w:t>指标名称</w:t>
            </w:r>
          </w:p>
        </w:tc>
        <w:tc>
          <w:tcPr>
            <w:tcW w:w="5702" w:type="dxa"/>
            <w:noWrap w:val="0"/>
            <w:vAlign w:val="center"/>
          </w:tcPr>
          <w:p w14:paraId="6942AB15">
            <w:pPr>
              <w:widowControl/>
              <w:jc w:val="center"/>
              <w:rPr>
                <w:rFonts w:ascii="Times New Roman" w:hAnsi="Times New Roman" w:eastAsia="仿宋" w:cs="Times New Roman"/>
                <w:sz w:val="24"/>
                <w:szCs w:val="24"/>
              </w:rPr>
            </w:pPr>
            <w:r>
              <w:rPr>
                <w:rFonts w:ascii="Times New Roman" w:hAnsi="Times New Roman" w:eastAsia="仿宋" w:cs="Times New Roman"/>
                <w:sz w:val="24"/>
                <w:szCs w:val="24"/>
              </w:rPr>
              <w:t>指标内容</w:t>
            </w:r>
          </w:p>
        </w:tc>
        <w:tc>
          <w:tcPr>
            <w:tcW w:w="1568" w:type="dxa"/>
            <w:noWrap w:val="0"/>
            <w:vAlign w:val="center"/>
          </w:tcPr>
          <w:p w14:paraId="47EC2E24">
            <w:pPr>
              <w:widowControl/>
              <w:jc w:val="center"/>
              <w:rPr>
                <w:rFonts w:ascii="Times New Roman" w:hAnsi="Times New Roman" w:eastAsia="仿宋" w:cs="Times New Roman"/>
                <w:sz w:val="24"/>
                <w:szCs w:val="24"/>
              </w:rPr>
            </w:pPr>
            <w:r>
              <w:rPr>
                <w:rFonts w:ascii="Times New Roman" w:hAnsi="Times New Roman" w:eastAsia="仿宋" w:cs="Times New Roman"/>
                <w:sz w:val="24"/>
                <w:szCs w:val="24"/>
              </w:rPr>
              <w:t>权重</w:t>
            </w:r>
          </w:p>
        </w:tc>
      </w:tr>
      <w:tr w14:paraId="3161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96CA79E">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418" w:type="dxa"/>
            <w:noWrap w:val="0"/>
            <w:vAlign w:val="center"/>
          </w:tcPr>
          <w:p w14:paraId="42D4B086">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设计费用投入及占比</w:t>
            </w:r>
          </w:p>
        </w:tc>
        <w:tc>
          <w:tcPr>
            <w:tcW w:w="5702" w:type="dxa"/>
            <w:noWrap w:val="0"/>
            <w:vAlign w:val="center"/>
          </w:tcPr>
          <w:p w14:paraId="0D93AEAB">
            <w:pPr>
              <w:widowControl/>
              <w:adjustRightInd w:val="0"/>
              <w:snapToGrid w:val="0"/>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近三年有稳定持续的设计费用投入，设计费用投入占研发设计投入总额的比重。</w:t>
            </w:r>
          </w:p>
        </w:tc>
        <w:tc>
          <w:tcPr>
            <w:tcW w:w="1568" w:type="dxa"/>
            <w:noWrap w:val="0"/>
            <w:vAlign w:val="center"/>
          </w:tcPr>
          <w:p w14:paraId="184D4094">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20%</w:t>
            </w:r>
          </w:p>
        </w:tc>
      </w:tr>
      <w:tr w14:paraId="395B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CFB2DEA">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1418" w:type="dxa"/>
            <w:noWrap w:val="0"/>
            <w:vAlign w:val="center"/>
          </w:tcPr>
          <w:p w14:paraId="59D39A08">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设计团队人员数量及素质</w:t>
            </w:r>
          </w:p>
        </w:tc>
        <w:tc>
          <w:tcPr>
            <w:tcW w:w="5702" w:type="dxa"/>
            <w:noWrap w:val="0"/>
            <w:vAlign w:val="center"/>
          </w:tcPr>
          <w:p w14:paraId="074284F7">
            <w:pPr>
              <w:widowControl/>
              <w:adjustRightInd w:val="0"/>
              <w:snapToGrid w:val="0"/>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设计人员数量，具有工业设计及相关学科大学本科及以上学历，或取得相关专业技术职称（职业资格）的人员比例。</w:t>
            </w:r>
          </w:p>
          <w:p w14:paraId="2E37EF8E">
            <w:pPr>
              <w:widowControl/>
              <w:adjustRightInd w:val="0"/>
              <w:snapToGrid w:val="0"/>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此项需满足的基本要求：设计从业人员20人以上，其中具有工业设计及相关学科大学本科及以上学历或取得工业设计专业技术职称的人员比例合计不低于50%。</w:t>
            </w:r>
          </w:p>
        </w:tc>
        <w:tc>
          <w:tcPr>
            <w:tcW w:w="1568" w:type="dxa"/>
            <w:noWrap w:val="0"/>
            <w:vAlign w:val="center"/>
          </w:tcPr>
          <w:p w14:paraId="2228ADB3">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20%</w:t>
            </w:r>
          </w:p>
        </w:tc>
      </w:tr>
      <w:tr w14:paraId="1EB0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21B16F7">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1418" w:type="dxa"/>
            <w:noWrap w:val="0"/>
            <w:vAlign w:val="center"/>
          </w:tcPr>
          <w:p w14:paraId="62FD8D91">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完成项目数量及质量</w:t>
            </w:r>
          </w:p>
        </w:tc>
        <w:tc>
          <w:tcPr>
            <w:tcW w:w="5702" w:type="dxa"/>
            <w:noWrap w:val="0"/>
            <w:vAlign w:val="center"/>
          </w:tcPr>
          <w:p w14:paraId="39F712AB">
            <w:pPr>
              <w:widowControl/>
              <w:adjustRightInd w:val="0"/>
              <w:snapToGrid w:val="0"/>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近三年服务工业企业完成的设计项目数量及质量，获得地市级以上政府批准举办或省级以上行业组织举办的设计大赛、评选等工业设计专业奖项数量。</w:t>
            </w:r>
          </w:p>
        </w:tc>
        <w:tc>
          <w:tcPr>
            <w:tcW w:w="1568" w:type="dxa"/>
            <w:noWrap w:val="0"/>
            <w:vAlign w:val="center"/>
          </w:tcPr>
          <w:p w14:paraId="56A0B7F0">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20%</w:t>
            </w:r>
          </w:p>
        </w:tc>
      </w:tr>
      <w:tr w14:paraId="4C7C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2199CBF">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1418" w:type="dxa"/>
            <w:noWrap w:val="0"/>
            <w:vAlign w:val="center"/>
          </w:tcPr>
          <w:p w14:paraId="24E59133">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业务规模</w:t>
            </w:r>
          </w:p>
        </w:tc>
        <w:tc>
          <w:tcPr>
            <w:tcW w:w="5702" w:type="dxa"/>
            <w:noWrap w:val="0"/>
            <w:vAlign w:val="center"/>
          </w:tcPr>
          <w:p w14:paraId="71FF0735">
            <w:pPr>
              <w:widowControl/>
              <w:adjustRightInd w:val="0"/>
              <w:snapToGrid w:val="0"/>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近三年工业设计服务营业收入情况，以及占企业总营业收入的比例。</w:t>
            </w:r>
          </w:p>
          <w:p w14:paraId="2F36504B">
            <w:pPr>
              <w:widowControl/>
              <w:adjustRightInd w:val="0"/>
              <w:snapToGrid w:val="0"/>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此项需满足的基本要求：近三年工业设计服务年均营业收入不低于400万元，占企业总营业收入的比例不低于 50%。</w:t>
            </w:r>
          </w:p>
        </w:tc>
        <w:tc>
          <w:tcPr>
            <w:tcW w:w="1568" w:type="dxa"/>
            <w:noWrap w:val="0"/>
            <w:vAlign w:val="center"/>
          </w:tcPr>
          <w:p w14:paraId="2C795433">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20%</w:t>
            </w:r>
          </w:p>
        </w:tc>
      </w:tr>
      <w:tr w14:paraId="50A7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0294EF9">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1418" w:type="dxa"/>
            <w:noWrap w:val="0"/>
            <w:vAlign w:val="center"/>
          </w:tcPr>
          <w:p w14:paraId="515F83EE">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经营质量</w:t>
            </w:r>
          </w:p>
        </w:tc>
        <w:tc>
          <w:tcPr>
            <w:tcW w:w="5702" w:type="dxa"/>
            <w:noWrap w:val="0"/>
            <w:vAlign w:val="center"/>
          </w:tcPr>
          <w:p w14:paraId="72E7C788">
            <w:pPr>
              <w:widowControl/>
              <w:adjustRightInd w:val="0"/>
              <w:snapToGrid w:val="0"/>
              <w:spacing w:line="40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近三年企业资产负债、净利润、现金流量等财务指标状况。</w:t>
            </w:r>
          </w:p>
        </w:tc>
        <w:tc>
          <w:tcPr>
            <w:tcW w:w="1568" w:type="dxa"/>
            <w:noWrap w:val="0"/>
            <w:vAlign w:val="center"/>
          </w:tcPr>
          <w:p w14:paraId="694B766E">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10%</w:t>
            </w:r>
          </w:p>
        </w:tc>
      </w:tr>
      <w:tr w14:paraId="7587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0899AD0">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1418" w:type="dxa"/>
            <w:noWrap w:val="0"/>
            <w:vAlign w:val="center"/>
          </w:tcPr>
          <w:p w14:paraId="1F2960AA">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管理水平</w:t>
            </w:r>
          </w:p>
        </w:tc>
        <w:tc>
          <w:tcPr>
            <w:tcW w:w="5702" w:type="dxa"/>
            <w:noWrap w:val="0"/>
            <w:vAlign w:val="center"/>
          </w:tcPr>
          <w:p w14:paraId="3FD88790">
            <w:pPr>
              <w:widowControl/>
              <w:adjustRightInd w:val="0"/>
              <w:snapToGrid w:val="0"/>
              <w:spacing w:line="40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有健全的企业管理、知识产权保护等制度以及明确的发展规划，并得到有效执行。</w:t>
            </w:r>
          </w:p>
        </w:tc>
        <w:tc>
          <w:tcPr>
            <w:tcW w:w="1568" w:type="dxa"/>
            <w:noWrap w:val="0"/>
            <w:vAlign w:val="center"/>
          </w:tcPr>
          <w:p w14:paraId="486B6757">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10%</w:t>
            </w:r>
          </w:p>
        </w:tc>
      </w:tr>
      <w:tr w14:paraId="7EDB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F265692">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1418" w:type="dxa"/>
            <w:noWrap w:val="0"/>
            <w:vAlign w:val="center"/>
          </w:tcPr>
          <w:p w14:paraId="42114F56">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加分项</w:t>
            </w:r>
          </w:p>
        </w:tc>
        <w:tc>
          <w:tcPr>
            <w:tcW w:w="5702" w:type="dxa"/>
            <w:noWrap w:val="0"/>
            <w:vAlign w:val="center"/>
          </w:tcPr>
          <w:p w14:paraId="56CB2B28">
            <w:pPr>
              <w:widowControl/>
              <w:adjustRightInd w:val="0"/>
              <w:snapToGrid w:val="0"/>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近三年组织或参与省内外工业设计重要活动，承担或参与市级以上工业设计课题研究数量，获得省级以上经济和信息化部门示范认定等情况。</w:t>
            </w:r>
          </w:p>
        </w:tc>
        <w:tc>
          <w:tcPr>
            <w:tcW w:w="1568" w:type="dxa"/>
            <w:noWrap w:val="0"/>
            <w:vAlign w:val="center"/>
          </w:tcPr>
          <w:p w14:paraId="442550C4">
            <w:pPr>
              <w:widowControl/>
              <w:adjustRightInd w:val="0"/>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10%</w:t>
            </w:r>
          </w:p>
        </w:tc>
      </w:tr>
    </w:tbl>
    <w:p w14:paraId="202738F2">
      <w:pPr>
        <w:rPr>
          <w:rFonts w:ascii="Times New Roman" w:hAnsi="Times New Roman" w:eastAsia="仿宋" w:cs="Times New Roman"/>
          <w:sz w:val="24"/>
          <w:szCs w:val="24"/>
        </w:rPr>
      </w:pPr>
    </w:p>
    <w:p w14:paraId="2CB1D440">
      <w:pPr>
        <w:rPr>
          <w:rFonts w:ascii="Times New Roman" w:hAnsi="Times New Roman" w:eastAsia="仿宋" w:cs="Times New Roman"/>
          <w:sz w:val="24"/>
          <w:szCs w:val="24"/>
        </w:rPr>
      </w:pPr>
      <w:r>
        <w:rPr>
          <w:rFonts w:ascii="Times New Roman" w:hAnsi="Times New Roman" w:eastAsia="仿宋" w:cs="Times New Roman"/>
          <w:sz w:val="24"/>
          <w:szCs w:val="24"/>
        </w:rPr>
        <w:t>说明：</w:t>
      </w:r>
    </w:p>
    <w:p w14:paraId="71FEEC30">
      <w:pPr>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1.企业工业设计中心认定和复核评价指标参照表1，工业设计企业认定和复核评价指标参照表2。</w:t>
      </w:r>
    </w:p>
    <w:p w14:paraId="5139AA84">
      <w:pPr>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2.开展湖北省省级工业设计中心评审时，根据评价指标制定评分细则。</w:t>
      </w:r>
    </w:p>
    <w:p w14:paraId="3A05793E">
      <w:pPr>
        <w:ind w:firstLine="480" w:firstLineChars="200"/>
        <w:rPr>
          <w:rFonts w:ascii="Times New Roman" w:hAnsi="Times New Roman" w:eastAsia="仿宋" w:cs="Times New Roman"/>
          <w:sz w:val="24"/>
          <w:szCs w:val="24"/>
        </w:rPr>
      </w:pPr>
    </w:p>
    <w:p w14:paraId="045F96A7">
      <w:pPr>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3.所称设计费用指参照《企业会计准则》规定，用于工业设计人员工资、奖金、津贴等的人工费用；与工业设计相关的市场咨询、样品试制、检验检测等直接投入费用；工业设计相关的设备折旧费用、无形资产摊销费用；其它与工业设计直接相关的费用。</w:t>
      </w:r>
    </w:p>
    <w:p w14:paraId="42831E91">
      <w:pPr>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4.所称工业设计及相关学科指《普通高等学校本科专业目录（2024年版）》所列之艺术学设计学类相关专业，工学机械类机械设计制造及其自动化、工业设计、智能交互设计等专业；《研究生教育学科专业目录（2022 年）》所列之艺术学设计类相关专业、交叉学科设计学相关专业。</w:t>
      </w:r>
    </w:p>
    <w:p w14:paraId="2C61BBF0">
      <w:pPr>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5.所称工业设计专业奖项指由政府行业主管部门设立的评比、竞赛和评奖。</w:t>
      </w:r>
    </w:p>
    <w:p w14:paraId="5DC1F442">
      <w:pPr>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6.所称知识产权包括获得授权的专利（含外观、实用新型、发明专利）和经登记的版权（含产品设计图纸及其说明、设计造型图像等）。</w:t>
      </w:r>
    </w:p>
    <w:p w14:paraId="4F65CD6A">
      <w:pPr>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7.所称设计标准指工业设计、产品设计直接相关的国家标准、行业标准、团体标准；设计相关技术规范是指通过市级以上主管部门或行业组织评定且实施的有关内容。</w:t>
      </w:r>
    </w:p>
    <w:p w14:paraId="2F3ECC29">
      <w:pPr>
        <w:ind w:firstLine="480" w:firstLineChars="200"/>
      </w:pPr>
      <w:r>
        <w:rPr>
          <w:rFonts w:ascii="Times New Roman" w:hAnsi="Times New Roman" w:eastAsia="仿宋" w:cs="Times New Roman"/>
          <w:sz w:val="24"/>
          <w:szCs w:val="24"/>
        </w:rPr>
        <w:t>8.所称工业设计重要活动包括：省级以上行业主管部门重要活动中工业设计类子活动；市级人民政府主办的工业设计会议、论坛、评奖、设计周等活动。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177B5FE2"/>
    <w:rsid w:val="177B5FE2"/>
    <w:rsid w:val="4504019C"/>
    <w:rsid w:val="74B83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1659</Words>
  <Characters>1713</Characters>
  <Lines>0</Lines>
  <Paragraphs>0</Paragraphs>
  <TotalTime>0</TotalTime>
  <ScaleCrop>false</ScaleCrop>
  <LinksUpToDate>false</LinksUpToDate>
  <CharactersWithSpaces>1718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2024-08-12T06:56:00Z</dcterms:created>
  <dc:creator>晚安</dc:creator>
  <cp:lastModifiedBy>晚安</cp:lastModifiedBy>
  <dcterms:modified xsi:type="dcterms:W3CDTF">2024-08-12T06:57:50Z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7EE0477C43544FABA3AC3613FCBD7BC0_13</vt:lpwstr>
  </property>
</Properties>
</file>