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CF618">
      <w:pPr>
        <w:spacing w:line="600" w:lineRule="exact"/>
        <w:outlineLvl w:val="1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-1</w:t>
      </w:r>
    </w:p>
    <w:p w14:paraId="369C6EAF">
      <w:pPr>
        <w:spacing w:line="600" w:lineRule="exact"/>
        <w:jc w:val="center"/>
        <w:rPr>
          <w:rFonts w:eastAsia="方正小标宋简体"/>
          <w:color w:val="auto"/>
          <w:sz w:val="36"/>
          <w:szCs w:val="36"/>
        </w:rPr>
      </w:pPr>
    </w:p>
    <w:p w14:paraId="66FFC10C">
      <w:pPr>
        <w:spacing w:line="600" w:lineRule="exact"/>
        <w:jc w:val="center"/>
        <w:rPr>
          <w:rFonts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湖北省中小企业商业价值信用评价指标体系</w:t>
      </w:r>
    </w:p>
    <w:p w14:paraId="13443137">
      <w:pPr>
        <w:spacing w:line="600" w:lineRule="exact"/>
        <w:ind w:firstLine="720" w:firstLineChars="200"/>
        <w:rPr>
          <w:rFonts w:eastAsia="仿宋_GB2312"/>
          <w:color w:val="auto"/>
          <w:sz w:val="36"/>
          <w:szCs w:val="36"/>
        </w:rPr>
      </w:pPr>
    </w:p>
    <w:p w14:paraId="4858C992">
      <w:pPr>
        <w:spacing w:line="600" w:lineRule="exact"/>
        <w:ind w:firstLine="720" w:firstLineChars="200"/>
        <w:rPr>
          <w:rFonts w:eastAsia="黑体"/>
          <w:color w:val="auto"/>
          <w:sz w:val="36"/>
          <w:szCs w:val="36"/>
        </w:rPr>
      </w:pPr>
      <w:r>
        <w:rPr>
          <w:rFonts w:eastAsia="黑体"/>
          <w:color w:val="auto"/>
          <w:sz w:val="36"/>
          <w:szCs w:val="36"/>
        </w:rPr>
        <w:t>一、评价指标</w:t>
      </w:r>
    </w:p>
    <w:p w14:paraId="7A6185B3">
      <w:pPr>
        <w:spacing w:line="600" w:lineRule="exact"/>
        <w:ind w:firstLine="720" w:firstLineChars="200"/>
        <w:rPr>
          <w:rFonts w:eastAsia="仿宋_GB2312"/>
          <w:color w:val="auto"/>
          <w:sz w:val="36"/>
          <w:szCs w:val="36"/>
        </w:rPr>
      </w:pPr>
      <w:r>
        <w:rPr>
          <w:rFonts w:eastAsia="仿宋_GB2312"/>
          <w:color w:val="auto"/>
          <w:sz w:val="36"/>
          <w:szCs w:val="36"/>
        </w:rPr>
        <w:t>评价体系从经营基础、经营能力、社会价值、创新能力4个维度设置指标，总分100分，另设10分品牌价值加分项。在指标选择上，突出企业经营的基础性、稳定性，选择体现企业商业价值且便于获取的关键指标；在评分规则上，突出政策普惠性、企业成长性，兼顾行业特点并对点多面广的中小企业进行综合评价。</w:t>
      </w:r>
    </w:p>
    <w:tbl>
      <w:tblPr>
        <w:tblStyle w:val="14"/>
        <w:tblpPr w:leftFromText="180" w:rightFromText="180" w:vertAnchor="text" w:horzAnchor="page" w:tblpX="1360" w:tblpY="117"/>
        <w:tblOverlap w:val="never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34"/>
        <w:gridCol w:w="709"/>
        <w:gridCol w:w="5103"/>
        <w:gridCol w:w="1386"/>
      </w:tblGrid>
      <w:tr w14:paraId="676E6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5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AADF0CB">
            <w:pPr>
              <w:widowControl/>
              <w:spacing w:line="400" w:lineRule="exact"/>
              <w:jc w:val="center"/>
              <w:textAlignment w:val="center"/>
              <w:rPr>
                <w:rFonts w:eastAsia="方正小标宋简体"/>
                <w:bCs/>
                <w:color w:val="auto"/>
                <w:sz w:val="28"/>
                <w:szCs w:val="28"/>
              </w:rPr>
            </w:pPr>
            <w:r>
              <w:rPr>
                <w:rFonts w:eastAsia="方正小标宋简体"/>
                <w:bCs/>
                <w:color w:val="auto"/>
                <w:kern w:val="0"/>
                <w:sz w:val="28"/>
                <w:szCs w:val="28"/>
                <w:lang w:bidi="ar"/>
              </w:rPr>
              <w:t>中小企业商业价值信用评价指标体系</w:t>
            </w:r>
          </w:p>
        </w:tc>
      </w:tr>
      <w:tr w14:paraId="4CA6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DA80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指标</w:t>
            </w:r>
          </w:p>
          <w:p w14:paraId="77A222D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sz w:val="24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名称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70AC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sz w:val="24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指标内容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8A6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sz w:val="24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参考分值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41D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sz w:val="24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评分细则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895D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sz w:val="24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数据来源</w:t>
            </w:r>
          </w:p>
        </w:tc>
      </w:tr>
      <w:tr w14:paraId="01CAC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9C5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经营</w:t>
            </w:r>
          </w:p>
          <w:p w14:paraId="4EA43A9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sz w:val="24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基础</w:t>
            </w: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（30分）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C216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经营年限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B9B4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60801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满分10分，按成立时间每增加1年加2分计算。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4152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省市场</w:t>
            </w:r>
          </w:p>
          <w:p w14:paraId="6CE8A8A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监管局</w:t>
            </w:r>
          </w:p>
        </w:tc>
      </w:tr>
      <w:tr w14:paraId="5473B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9D100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B5E77">
            <w:pPr>
              <w:widowControl/>
              <w:spacing w:line="400" w:lineRule="exac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经营稳定性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717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6F45">
            <w:pPr>
              <w:widowControl/>
              <w:spacing w:line="400" w:lineRule="exac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满分8分，按申请企业近24个月内法定代表人变更次数计算，未变更得</w:t>
            </w:r>
            <w:r>
              <w:rPr>
                <w:rFonts w:hint="eastAsia" w:eastAsia="仿宋"/>
                <w:color w:val="auto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分，每变更1次扣5分。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3C20A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省市场</w:t>
            </w:r>
          </w:p>
          <w:p w14:paraId="554AADC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监管局</w:t>
            </w:r>
          </w:p>
        </w:tc>
      </w:tr>
      <w:tr w14:paraId="594FD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1FF9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AB1F9">
            <w:pPr>
              <w:widowControl/>
              <w:spacing w:line="400" w:lineRule="exac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信用记录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651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91ED">
            <w:pPr>
              <w:widowControl/>
              <w:spacing w:line="400" w:lineRule="exac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满分7分，按企业、企业实际控制人非白户且还款记录良好各得4分，近二年有1次逾期在30天以内各2分，其余不得分。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4E7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人行湖北省分行</w:t>
            </w:r>
          </w:p>
        </w:tc>
      </w:tr>
      <w:tr w14:paraId="08C0F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3EA2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9FEC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金融机构合作情况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951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4C584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满分5分，按合作银行2家及以上得5分，合作1家得3分，无合作银行得1分。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410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人行湖北省分行</w:t>
            </w:r>
          </w:p>
        </w:tc>
      </w:tr>
      <w:tr w14:paraId="12690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850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经营</w:t>
            </w:r>
          </w:p>
          <w:p w14:paraId="7534EDA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sz w:val="24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能力</w:t>
            </w: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（35分）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11F34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上年度纳税营业收入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40A4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870F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满分10分，按行业系数评价法计算处于（高于）中位值水平得10分，每降低1%扣减1分计算。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23F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省税务局</w:t>
            </w:r>
          </w:p>
        </w:tc>
      </w:tr>
      <w:tr w14:paraId="6AB68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B6F9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512A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带息负债与纳税营业收入占比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A50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F05AA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满分10分，按行业系数评价法计算处于（低于）中位值水平得10分，每增加5%扣减1分计算。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3CC6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人行湖北省分行、</w:t>
            </w:r>
          </w:p>
          <w:p w14:paraId="5F13C78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省税务局</w:t>
            </w:r>
          </w:p>
        </w:tc>
      </w:tr>
      <w:tr w14:paraId="10508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7EC8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7FD2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近2年营业收入增长率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D814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9DF5F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满分10分，按行业系数评价法计算处于（高于）中位值水平得10分，每降低1%扣减1分计算。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382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省税务局</w:t>
            </w:r>
          </w:p>
        </w:tc>
      </w:tr>
      <w:tr w14:paraId="60FEB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EC52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23A5A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水、电、气用量波动情况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5996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C3880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满分5分，按3项指标分行业用量同比趋势计算，3项均增长得满分，1项指标趋势下降扣1分计算。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5B2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省电力公司、各地水务局、燃气公司</w:t>
            </w:r>
          </w:p>
        </w:tc>
      </w:tr>
      <w:tr w14:paraId="3EB3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DAF9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社会</w:t>
            </w:r>
          </w:p>
          <w:p w14:paraId="4C22430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sz w:val="24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价值</w:t>
            </w: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（20分）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DB129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纳税评级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AB8B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3D50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满分10分，按纳税信用等级为A级得10分、B级得8分、M级得5分、C级得3分计算。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D45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省税务局</w:t>
            </w:r>
          </w:p>
        </w:tc>
      </w:tr>
      <w:tr w14:paraId="58DA8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D403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14E34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缴纳社保人数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7D71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84C7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满分5分，按缴纳社保30人以上</w:t>
            </w:r>
            <w:r>
              <w:rPr>
                <w:rFonts w:hint="eastAsia" w:eastAsia="仿宋"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分、10—30人</w:t>
            </w:r>
            <w:r>
              <w:rPr>
                <w:rFonts w:hint="eastAsia" w:eastAsia="仿宋"/>
                <w:color w:val="auto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分、10人以下2分计算。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771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省人社厅</w:t>
            </w:r>
          </w:p>
        </w:tc>
      </w:tr>
      <w:tr w14:paraId="452F1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2F62B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598FF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缴纳公积金人数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F9CD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B9FD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满分5分，按缴纳公积金人数30人以上得5分、10—30人得3分、1—10人得2分。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4AD1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省住建厅</w:t>
            </w:r>
          </w:p>
        </w:tc>
      </w:tr>
      <w:tr w14:paraId="389AA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9944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创新</w:t>
            </w:r>
          </w:p>
          <w:p w14:paraId="291F7EA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sz w:val="24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能力（15分）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5D597">
            <w:pPr>
              <w:widowControl/>
              <w:spacing w:line="400" w:lineRule="exac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研发投入占纳税营业收入比例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7801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A0AC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满分5分，占比2%（含）以上满分；每降低0.5%减1分；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74C4C">
            <w:pPr>
              <w:widowControl/>
              <w:spacing w:line="400" w:lineRule="exact"/>
              <w:textAlignment w:val="center"/>
              <w:rPr>
                <w:rFonts w:hint="eastAsia" w:eastAsia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eastAsia="zh-CN" w:bidi="ar"/>
              </w:rPr>
              <w:t>省税务局</w:t>
            </w:r>
          </w:p>
          <w:p w14:paraId="4B14A8BF">
            <w:pPr>
              <w:widowControl/>
              <w:spacing w:line="400" w:lineRule="exac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省科技厅</w:t>
            </w:r>
          </w:p>
        </w:tc>
      </w:tr>
      <w:tr w14:paraId="129DD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7F2D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2F013">
            <w:pPr>
              <w:widowControl/>
              <w:spacing w:line="400" w:lineRule="exac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自主知识产权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CE0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AE105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满分10分，发明、实用新型、外观设计专利、著作权、商标各得2分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87A9F">
            <w:pPr>
              <w:widowControl/>
              <w:spacing w:line="400" w:lineRule="exac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省市场监管局、省知识产权局、省文旅厅</w:t>
            </w:r>
          </w:p>
        </w:tc>
      </w:tr>
      <w:tr w14:paraId="0C3A4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8AC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auto"/>
                <w:sz w:val="24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品牌价值</w:t>
            </w: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"/>
                <w:b/>
                <w:bCs/>
                <w:color w:val="auto"/>
                <w:kern w:val="0"/>
                <w:sz w:val="24"/>
                <w:lang w:bidi="ar"/>
              </w:rPr>
              <w:t>（10分，加分项）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79279">
            <w:pPr>
              <w:widowControl/>
              <w:spacing w:line="400" w:lineRule="exac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获得政府认定荣誉情况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A7DA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29F0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满分5分，按获得国家级荣誉的加5分/个、省级荣誉加4分/个、市级荣誉加3分/个、县级荣誉加1分，如守合同重信用、专精特新、老字号、非遗、驰名商标企业等。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901D">
            <w:pPr>
              <w:widowControl/>
              <w:spacing w:line="400" w:lineRule="exac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省发改委、省科技厅、省经信厅、省商务厅、省市场监管局、省文旅厅等</w:t>
            </w:r>
          </w:p>
        </w:tc>
      </w:tr>
      <w:tr w14:paraId="1734F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98AD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2BC00">
            <w:pPr>
              <w:widowControl/>
              <w:spacing w:line="400" w:lineRule="exac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行业资质、等级资质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F84C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1228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满分5分，获得即满分。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821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  <w:lang w:bidi="ar"/>
              </w:rPr>
              <w:t>省市场监管局</w:t>
            </w:r>
          </w:p>
        </w:tc>
      </w:tr>
    </w:tbl>
    <w:p w14:paraId="5C8A69D7">
      <w:pPr>
        <w:spacing w:line="320" w:lineRule="exact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备注：</w:t>
      </w:r>
    </w:p>
    <w:p w14:paraId="0D445D77">
      <w:pPr>
        <w:spacing w:line="320" w:lineRule="exact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1.行业系数评价法：客户关键指标与客户所处行业的关键指标平均值相比较。</w:t>
      </w:r>
    </w:p>
    <w:p w14:paraId="4809682F">
      <w:pPr>
        <w:spacing w:line="320" w:lineRule="exact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2.政府认定荣誉包括：质量、技术创新、绿色发展、知识产权等多个领域。</w:t>
      </w:r>
    </w:p>
    <w:p w14:paraId="75A7F98E">
      <w:pPr>
        <w:spacing w:line="320" w:lineRule="exact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3.行业资质包括：行业许可证（如食品、医药、建筑、教育等）、质量管理资质（ISO认证、CCC认证）、安全与环保资质（安全生产许可证、排污许可证）等。</w:t>
      </w:r>
    </w:p>
    <w:p w14:paraId="2E71FA84">
      <w:pPr>
        <w:spacing w:line="320" w:lineRule="exact"/>
        <w:ind w:firstLine="480" w:firstLineChars="200"/>
        <w:rPr>
          <w:rFonts w:eastAsia="仿宋_GB2312"/>
          <w:color w:val="auto"/>
          <w:sz w:val="24"/>
        </w:rPr>
      </w:pPr>
      <w:r>
        <w:rPr>
          <w:color w:val="auto"/>
          <w:sz w:val="24"/>
        </w:rPr>
        <w:t>4.等级资质包括：建筑业企业资质（如施工总承包资质：特级、一级、二级、三级；专业承包资质：一级、二级、三级；劳务分包资质）、工程设计资质、工程监理资质、房地产开发企业资质、物业管理企业资质、信息技术行业资质等。</w:t>
      </w:r>
    </w:p>
    <w:p w14:paraId="5AA738F4">
      <w:pPr>
        <w:spacing w:line="600" w:lineRule="exact"/>
        <w:ind w:firstLine="720" w:firstLineChars="200"/>
        <w:rPr>
          <w:rFonts w:eastAsia="黑体"/>
          <w:color w:val="auto"/>
          <w:sz w:val="36"/>
          <w:szCs w:val="36"/>
        </w:rPr>
      </w:pPr>
      <w:r>
        <w:rPr>
          <w:rFonts w:eastAsia="黑体"/>
          <w:color w:val="auto"/>
          <w:sz w:val="36"/>
          <w:szCs w:val="36"/>
        </w:rPr>
        <w:t>二、评价等级</w:t>
      </w:r>
    </w:p>
    <w:p w14:paraId="2FD92E7A">
      <w:pPr>
        <w:spacing w:line="600" w:lineRule="exact"/>
        <w:ind w:firstLine="720" w:firstLineChars="200"/>
        <w:rPr>
          <w:rFonts w:eastAsia="仿宋_GB2312"/>
          <w:color w:val="auto"/>
          <w:sz w:val="36"/>
          <w:szCs w:val="36"/>
        </w:rPr>
      </w:pPr>
      <w:r>
        <w:rPr>
          <w:rFonts w:eastAsia="仿宋_GB2312"/>
          <w:color w:val="auto"/>
          <w:sz w:val="36"/>
          <w:szCs w:val="36"/>
        </w:rPr>
        <w:t>中小企业商业价值信用评价等级按照指标得分划分为A、B、C、D四个等级：</w:t>
      </w:r>
    </w:p>
    <w:p w14:paraId="7BB9A692">
      <w:pPr>
        <w:spacing w:line="600" w:lineRule="exact"/>
        <w:ind w:firstLine="720" w:firstLineChars="200"/>
        <w:rPr>
          <w:rFonts w:eastAsia="仿宋_GB2312"/>
          <w:color w:val="auto"/>
          <w:sz w:val="36"/>
          <w:szCs w:val="36"/>
        </w:rPr>
      </w:pPr>
      <w:r>
        <w:rPr>
          <w:rFonts w:eastAsia="仿宋_GB2312"/>
          <w:color w:val="auto"/>
          <w:sz w:val="36"/>
          <w:szCs w:val="36"/>
        </w:rPr>
        <w:t>A级：90（含）分以上；</w:t>
      </w:r>
    </w:p>
    <w:p w14:paraId="40BAA296">
      <w:pPr>
        <w:spacing w:line="600" w:lineRule="exact"/>
        <w:ind w:firstLine="720" w:firstLineChars="200"/>
        <w:rPr>
          <w:rFonts w:eastAsia="仿宋_GB2312"/>
          <w:color w:val="auto"/>
          <w:sz w:val="36"/>
          <w:szCs w:val="36"/>
        </w:rPr>
      </w:pPr>
      <w:r>
        <w:rPr>
          <w:rFonts w:eastAsia="仿宋_GB2312"/>
          <w:color w:val="auto"/>
          <w:sz w:val="36"/>
          <w:szCs w:val="36"/>
        </w:rPr>
        <w:t>B级：70（含）至90（不含）分；</w:t>
      </w:r>
    </w:p>
    <w:p w14:paraId="14CF6E6E">
      <w:pPr>
        <w:spacing w:line="600" w:lineRule="exact"/>
        <w:ind w:firstLine="720" w:firstLineChars="200"/>
        <w:rPr>
          <w:rFonts w:eastAsia="仿宋_GB2312"/>
          <w:color w:val="auto"/>
          <w:sz w:val="36"/>
          <w:szCs w:val="36"/>
        </w:rPr>
      </w:pPr>
      <w:r>
        <w:rPr>
          <w:rFonts w:eastAsia="仿宋_GB2312"/>
          <w:color w:val="auto"/>
          <w:sz w:val="36"/>
          <w:szCs w:val="36"/>
        </w:rPr>
        <w:t>C级：50（含）至70（不含）分；</w:t>
      </w:r>
    </w:p>
    <w:p w14:paraId="16C9D511">
      <w:pPr>
        <w:spacing w:line="600" w:lineRule="exact"/>
        <w:ind w:firstLine="720" w:firstLineChars="200"/>
        <w:rPr>
          <w:rFonts w:eastAsia="仿宋_GB2312"/>
          <w:color w:val="auto"/>
          <w:sz w:val="36"/>
          <w:szCs w:val="36"/>
        </w:rPr>
      </w:pPr>
      <w:r>
        <w:rPr>
          <w:rFonts w:eastAsia="仿宋_GB2312"/>
          <w:color w:val="auto"/>
          <w:sz w:val="36"/>
          <w:szCs w:val="36"/>
        </w:rPr>
        <w:t>D级：50（不含）分以下。</w:t>
      </w:r>
    </w:p>
    <w:p w14:paraId="4A264455">
      <w:pPr>
        <w:spacing w:line="600" w:lineRule="exact"/>
        <w:outlineLvl w:val="1"/>
        <w:rPr>
          <w:rFonts w:eastAsia="黑体"/>
          <w:color w:val="auto"/>
          <w:kern w:val="0"/>
          <w:sz w:val="32"/>
          <w:szCs w:val="32"/>
          <w:lang w:bidi="ar"/>
        </w:rPr>
      </w:pPr>
    </w:p>
    <w:p w14:paraId="419C27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DAE3DB-0605-4D6D-92B2-193BBA4637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55A1393-9AFA-4F33-BA49-FFC5B48E0E4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B3D826A-2158-420C-B461-B802676718AD}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5F89B0E-5E34-4F2C-B26A-6CA616C376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EADA4AB-DB2D-4D51-826B-EDBAAC04C5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6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A0D9A"/>
    <w:rsid w:val="048746A7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AA8235D"/>
    <w:rsid w:val="65FA0D9A"/>
    <w:rsid w:val="66ED7E05"/>
    <w:rsid w:val="6A725BC9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5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6">
    <w:name w:val="heading 2"/>
    <w:next w:val="5"/>
    <w:link w:val="16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7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9">
    <w:name w:val="heading 5"/>
    <w:next w:val="5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6">
    <w:name w:val="标题 2 Char"/>
    <w:link w:val="6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7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8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9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1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2025-04-25T03:44:00Z</dcterms:created>
  <dc:creator>Selina</dc:creator>
  <cp:lastModifiedBy>Selina</cp:lastModifiedBy>
  <dcterms:modified xsi:type="dcterms:W3CDTF">2025-04-25T03:45:39Z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58E44138C8944C28B792704EDD19056C_13</vt:lpwstr>
  </property>
  <property fmtid="{D5CDD505-2E9C-101B-9397-08002B2CF9AE}" pid="4" name="KSOTemplateDocerSaveRecord">
    <vt:lpwstr>eyJoZGlkIjoiZTNiMmJjMGUyMDNhMGI0MjllZTc4OTE3ODRjOTBjMWQiLCJ1c2VySWQiOiIxMjAzOTIyMjk5In0=</vt:lpwstr>
  </property>
</Properties>
</file>