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lang w:eastAsia="zh-CN"/>
        </w:rPr>
        <w:t>附件</w:t>
      </w: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2024年省生命健康产业发展专项项目申请汇总表（黄冈市）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</w:t>
      </w:r>
      <w:r>
        <w:rPr>
          <w:rFonts w:hint="eastAsia"/>
          <w:b/>
          <w:bCs/>
          <w:lang w:val="en-US" w:eastAsia="zh-CN"/>
        </w:rPr>
        <w:t xml:space="preserve">  单位：万元</w:t>
      </w:r>
    </w:p>
    <w:tbl>
      <w:tblPr>
        <w:tblStyle w:val="3"/>
        <w:tblW w:w="15510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0"/>
        <w:gridCol w:w="1635"/>
        <w:gridCol w:w="1830"/>
        <w:gridCol w:w="1845"/>
        <w:gridCol w:w="1065"/>
        <w:gridCol w:w="1420"/>
        <w:gridCol w:w="2465"/>
        <w:gridCol w:w="975"/>
        <w:gridCol w:w="1275"/>
        <w:gridCol w:w="142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10" w:type="dxa"/>
            <w:gridSpan w:val="11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一、国家一类新药奖补类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国家认定药品文号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研发投入金额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155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二、第三类医疗器械获批奖补类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国家认定医疗器械文号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研发投入金额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155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三、特色中药产业化项目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建设性质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建设起止年限</w:t>
            </w:r>
          </w:p>
        </w:tc>
        <w:tc>
          <w:tcPr>
            <w:tcW w:w="2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项目建设主要内容、规模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总投资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55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四、全国同品名仿制药首个通过一致性评价的药品奖补类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国家认定药品文号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研发投入金额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55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五、产业发展重大支撑项目类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建设性质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建设起止年限</w:t>
            </w:r>
          </w:p>
        </w:tc>
        <w:tc>
          <w:tcPr>
            <w:tcW w:w="2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项目建设主要内容、规模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总投资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exac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F4063"/>
    <w:rsid w:val="7AE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2024-03-28T13:27:00Z</dcterms:created>
  <dc:creator>guest</dc:creator>
  <cp:lastModifiedBy>guest</cp:lastModifiedBy>
  <dcterms:modified xsi:type="dcterms:W3CDTF">2024-03-28T14:12:40Z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